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13" w:rsidRDefault="00875D13" w:rsidP="00875D13">
      <w:pPr>
        <w:jc w:val="center"/>
      </w:pPr>
      <w:r>
        <w:t>Focus Areas by Grade Level</w:t>
      </w:r>
    </w:p>
    <w:p w:rsidR="00875D13" w:rsidRDefault="00875D13" w:rsidP="00875D13">
      <w:pPr>
        <w:jc w:val="center"/>
      </w:pPr>
    </w:p>
    <w:tbl>
      <w:tblPr>
        <w:tblStyle w:val="TableGrid"/>
        <w:tblW w:w="0" w:type="auto"/>
        <w:tblLook w:val="04A0" w:firstRow="1" w:lastRow="0" w:firstColumn="1" w:lastColumn="0" w:noHBand="0" w:noVBand="1"/>
      </w:tblPr>
      <w:tblGrid>
        <w:gridCol w:w="585"/>
        <w:gridCol w:w="2325"/>
        <w:gridCol w:w="2334"/>
        <w:gridCol w:w="2334"/>
        <w:gridCol w:w="2334"/>
        <w:gridCol w:w="2405"/>
        <w:gridCol w:w="2073"/>
      </w:tblGrid>
      <w:tr w:rsidR="00CC1F88" w:rsidRPr="00875D13" w:rsidTr="00CC1F88">
        <w:tc>
          <w:tcPr>
            <w:tcW w:w="585" w:type="dxa"/>
          </w:tcPr>
          <w:p w:rsidR="00CC1F88" w:rsidRPr="00875D13" w:rsidRDefault="00CC1F88">
            <w:pPr>
              <w:rPr>
                <w:sz w:val="16"/>
                <w:szCs w:val="16"/>
              </w:rPr>
            </w:pPr>
          </w:p>
        </w:tc>
        <w:tc>
          <w:tcPr>
            <w:tcW w:w="2325" w:type="dxa"/>
          </w:tcPr>
          <w:p w:rsidR="00CC1F88" w:rsidRPr="00875D13" w:rsidRDefault="00CC1F88">
            <w:pPr>
              <w:rPr>
                <w:sz w:val="16"/>
                <w:szCs w:val="16"/>
              </w:rPr>
            </w:pPr>
            <w:r w:rsidRPr="00875D13">
              <w:rPr>
                <w:sz w:val="16"/>
                <w:szCs w:val="16"/>
              </w:rPr>
              <w:t>Counting &amp; Cardinality</w:t>
            </w:r>
          </w:p>
        </w:tc>
        <w:tc>
          <w:tcPr>
            <w:tcW w:w="2334" w:type="dxa"/>
          </w:tcPr>
          <w:p w:rsidR="00CC1F88" w:rsidRPr="00875D13" w:rsidRDefault="00CC1F88" w:rsidP="00CC1F88">
            <w:pPr>
              <w:rPr>
                <w:sz w:val="16"/>
                <w:szCs w:val="16"/>
              </w:rPr>
            </w:pPr>
            <w:r w:rsidRPr="00875D13">
              <w:rPr>
                <w:sz w:val="16"/>
                <w:szCs w:val="16"/>
              </w:rPr>
              <w:t>Operations &amp; Algebraic Thinking</w:t>
            </w:r>
            <w:r w:rsidR="00875D13">
              <w:rPr>
                <w:sz w:val="16"/>
                <w:szCs w:val="16"/>
              </w:rPr>
              <w:t>*</w:t>
            </w:r>
          </w:p>
        </w:tc>
        <w:tc>
          <w:tcPr>
            <w:tcW w:w="2334" w:type="dxa"/>
          </w:tcPr>
          <w:p w:rsidR="00CC1F88" w:rsidRPr="00875D13" w:rsidRDefault="00CC1F88" w:rsidP="00CC1F88">
            <w:pPr>
              <w:rPr>
                <w:sz w:val="16"/>
                <w:szCs w:val="16"/>
              </w:rPr>
            </w:pPr>
            <w:r w:rsidRPr="00875D13">
              <w:rPr>
                <w:sz w:val="16"/>
                <w:szCs w:val="16"/>
              </w:rPr>
              <w:t>Number &amp; Operations in Base Ten</w:t>
            </w:r>
          </w:p>
        </w:tc>
        <w:tc>
          <w:tcPr>
            <w:tcW w:w="2334" w:type="dxa"/>
          </w:tcPr>
          <w:p w:rsidR="00CC1F88" w:rsidRPr="00875D13" w:rsidRDefault="00CC1F88">
            <w:pPr>
              <w:rPr>
                <w:sz w:val="16"/>
                <w:szCs w:val="16"/>
              </w:rPr>
            </w:pPr>
            <w:r w:rsidRPr="00875D13">
              <w:rPr>
                <w:sz w:val="16"/>
                <w:szCs w:val="16"/>
              </w:rPr>
              <w:t>Number &amp; Operations in Fractions</w:t>
            </w:r>
          </w:p>
        </w:tc>
        <w:tc>
          <w:tcPr>
            <w:tcW w:w="2405" w:type="dxa"/>
          </w:tcPr>
          <w:p w:rsidR="00CC1F88" w:rsidRPr="00875D13" w:rsidRDefault="00CC1F88">
            <w:pPr>
              <w:rPr>
                <w:sz w:val="16"/>
                <w:szCs w:val="16"/>
              </w:rPr>
            </w:pPr>
            <w:r w:rsidRPr="00875D13">
              <w:rPr>
                <w:sz w:val="16"/>
                <w:szCs w:val="16"/>
              </w:rPr>
              <w:t>Measurement &amp; Data</w:t>
            </w:r>
          </w:p>
        </w:tc>
        <w:tc>
          <w:tcPr>
            <w:tcW w:w="2073" w:type="dxa"/>
          </w:tcPr>
          <w:p w:rsidR="00CC1F88" w:rsidRPr="00875D13" w:rsidRDefault="00CC1F88">
            <w:pPr>
              <w:rPr>
                <w:sz w:val="16"/>
                <w:szCs w:val="16"/>
              </w:rPr>
            </w:pPr>
            <w:r w:rsidRPr="00875D13">
              <w:rPr>
                <w:sz w:val="16"/>
                <w:szCs w:val="16"/>
              </w:rPr>
              <w:t>Geometry</w:t>
            </w:r>
          </w:p>
        </w:tc>
      </w:tr>
      <w:tr w:rsidR="00CC1F88" w:rsidRPr="00875D13" w:rsidTr="00CD289D">
        <w:tc>
          <w:tcPr>
            <w:tcW w:w="585" w:type="dxa"/>
          </w:tcPr>
          <w:p w:rsidR="00CC1F88" w:rsidRPr="00875D13" w:rsidRDefault="00CC1F88">
            <w:pPr>
              <w:rPr>
                <w:sz w:val="16"/>
                <w:szCs w:val="16"/>
              </w:rPr>
            </w:pPr>
            <w:r w:rsidRPr="00875D13">
              <w:rPr>
                <w:sz w:val="16"/>
                <w:szCs w:val="16"/>
              </w:rPr>
              <w:t>5</w:t>
            </w:r>
            <w:r w:rsidRPr="00875D13">
              <w:rPr>
                <w:sz w:val="16"/>
                <w:szCs w:val="16"/>
                <w:vertAlign w:val="superscript"/>
              </w:rPr>
              <w:t>th</w:t>
            </w:r>
          </w:p>
        </w:tc>
        <w:tc>
          <w:tcPr>
            <w:tcW w:w="2325" w:type="dxa"/>
          </w:tcPr>
          <w:p w:rsidR="00CC1F88" w:rsidRPr="00875D13" w:rsidRDefault="00CC1F88">
            <w:pPr>
              <w:rPr>
                <w:sz w:val="16"/>
                <w:szCs w:val="16"/>
              </w:rPr>
            </w:pPr>
          </w:p>
        </w:tc>
        <w:tc>
          <w:tcPr>
            <w:tcW w:w="4668" w:type="dxa"/>
            <w:gridSpan w:val="2"/>
          </w:tcPr>
          <w:p w:rsidR="00CC1F88" w:rsidRPr="00875D13" w:rsidRDefault="00CC1F88" w:rsidP="00CC1F88">
            <w:pPr>
              <w:rPr>
                <w:sz w:val="16"/>
                <w:szCs w:val="16"/>
              </w:rPr>
            </w:pPr>
            <w:r w:rsidRPr="00875D13">
              <w:rPr>
                <w:sz w:val="16"/>
                <w:szCs w:val="16"/>
              </w:rPr>
              <w:t>extending division to 2-digit divisors, integrating decimal fractions into the place value system and developing understanding of operations with decimals to hundredths, and developing fluency with whole number and decimal operations</w:t>
            </w:r>
          </w:p>
        </w:tc>
        <w:tc>
          <w:tcPr>
            <w:tcW w:w="2334" w:type="dxa"/>
          </w:tcPr>
          <w:p w:rsidR="00CC1F88" w:rsidRPr="00875D13" w:rsidRDefault="00CC1F88">
            <w:pPr>
              <w:rPr>
                <w:sz w:val="16"/>
                <w:szCs w:val="16"/>
              </w:rPr>
            </w:pPr>
            <w:r w:rsidRPr="00875D13">
              <w:rPr>
                <w:sz w:val="16"/>
                <w:szCs w:val="16"/>
              </w:rPr>
              <w:t>developing fluency with addition and subtraction of fractions, and developing understanding of the multiplication of fractions and of division of fractions in limited cases (unit fractions divided by whole numbers and whole numbers divided by unit fractions);</w:t>
            </w:r>
          </w:p>
        </w:tc>
        <w:tc>
          <w:tcPr>
            <w:tcW w:w="2405" w:type="dxa"/>
          </w:tcPr>
          <w:p w:rsidR="00CC1F88" w:rsidRPr="00875D13" w:rsidRDefault="00CC1F88">
            <w:pPr>
              <w:rPr>
                <w:sz w:val="16"/>
                <w:szCs w:val="16"/>
              </w:rPr>
            </w:pPr>
            <w:r w:rsidRPr="00875D13">
              <w:rPr>
                <w:sz w:val="16"/>
                <w:szCs w:val="16"/>
              </w:rPr>
              <w:t>developing understanding of volume</w:t>
            </w:r>
          </w:p>
        </w:tc>
        <w:tc>
          <w:tcPr>
            <w:tcW w:w="2073" w:type="dxa"/>
          </w:tcPr>
          <w:p w:rsidR="00CC1F88" w:rsidRPr="00875D13" w:rsidRDefault="00CC1F88">
            <w:pPr>
              <w:rPr>
                <w:sz w:val="16"/>
                <w:szCs w:val="16"/>
              </w:rPr>
            </w:pPr>
          </w:p>
        </w:tc>
      </w:tr>
      <w:tr w:rsidR="00CC1F88" w:rsidRPr="00875D13" w:rsidTr="00C90FDF">
        <w:tc>
          <w:tcPr>
            <w:tcW w:w="585" w:type="dxa"/>
          </w:tcPr>
          <w:p w:rsidR="00CC1F88" w:rsidRPr="00875D13" w:rsidRDefault="00CC1F88">
            <w:pPr>
              <w:rPr>
                <w:sz w:val="16"/>
                <w:szCs w:val="16"/>
              </w:rPr>
            </w:pPr>
            <w:r w:rsidRPr="00875D13">
              <w:rPr>
                <w:sz w:val="16"/>
                <w:szCs w:val="16"/>
              </w:rPr>
              <w:t>4</w:t>
            </w:r>
            <w:r w:rsidRPr="00875D13">
              <w:rPr>
                <w:sz w:val="16"/>
                <w:szCs w:val="16"/>
                <w:vertAlign w:val="superscript"/>
              </w:rPr>
              <w:t>th</w:t>
            </w:r>
          </w:p>
        </w:tc>
        <w:tc>
          <w:tcPr>
            <w:tcW w:w="2325" w:type="dxa"/>
          </w:tcPr>
          <w:p w:rsidR="00CC1F88" w:rsidRPr="00875D13" w:rsidRDefault="00CC1F88">
            <w:pPr>
              <w:rPr>
                <w:sz w:val="16"/>
                <w:szCs w:val="16"/>
              </w:rPr>
            </w:pPr>
          </w:p>
        </w:tc>
        <w:tc>
          <w:tcPr>
            <w:tcW w:w="4668" w:type="dxa"/>
            <w:gridSpan w:val="2"/>
          </w:tcPr>
          <w:p w:rsidR="00CC1F88" w:rsidRPr="00875D13" w:rsidRDefault="00CC1F88" w:rsidP="00CC1F88">
            <w:pPr>
              <w:rPr>
                <w:sz w:val="16"/>
                <w:szCs w:val="16"/>
              </w:rPr>
            </w:pPr>
            <w:r w:rsidRPr="00875D13">
              <w:rPr>
                <w:sz w:val="16"/>
                <w:szCs w:val="16"/>
              </w:rPr>
              <w:t>developing understanding and fluency with multi-digit multiplication, and developing understanding of dividing to find quotients involving multi-digit dividends</w:t>
            </w:r>
          </w:p>
        </w:tc>
        <w:tc>
          <w:tcPr>
            <w:tcW w:w="2334" w:type="dxa"/>
          </w:tcPr>
          <w:p w:rsidR="00CC1F88" w:rsidRPr="00875D13" w:rsidRDefault="00CC1F88">
            <w:pPr>
              <w:rPr>
                <w:sz w:val="16"/>
                <w:szCs w:val="16"/>
              </w:rPr>
            </w:pPr>
            <w:r w:rsidRPr="00875D13">
              <w:rPr>
                <w:sz w:val="16"/>
                <w:szCs w:val="16"/>
              </w:rPr>
              <w:t>developing an understanding of fraction equivalence, addition and subtraction of fractions with like denominators, and multiplication of fractions by whole numbers</w:t>
            </w:r>
          </w:p>
        </w:tc>
        <w:tc>
          <w:tcPr>
            <w:tcW w:w="2405" w:type="dxa"/>
          </w:tcPr>
          <w:p w:rsidR="00CC1F88" w:rsidRPr="00875D13" w:rsidRDefault="00CC1F88">
            <w:pPr>
              <w:rPr>
                <w:sz w:val="16"/>
                <w:szCs w:val="16"/>
              </w:rPr>
            </w:pPr>
          </w:p>
        </w:tc>
        <w:tc>
          <w:tcPr>
            <w:tcW w:w="2073" w:type="dxa"/>
          </w:tcPr>
          <w:p w:rsidR="00CC1F88" w:rsidRPr="00875D13" w:rsidRDefault="00CC1F88">
            <w:pPr>
              <w:rPr>
                <w:sz w:val="16"/>
                <w:szCs w:val="16"/>
              </w:rPr>
            </w:pPr>
            <w:r w:rsidRPr="00875D13">
              <w:rPr>
                <w:sz w:val="16"/>
                <w:szCs w:val="16"/>
              </w:rPr>
              <w:t>understanding that geometric figures can be analyzed and classified based on their properties, such as having parallel sides, perpendicular sides, particular angle measures, and symmetry</w:t>
            </w:r>
          </w:p>
        </w:tc>
      </w:tr>
      <w:tr w:rsidR="00CC1F88" w:rsidRPr="00875D13" w:rsidTr="00C52C02">
        <w:tc>
          <w:tcPr>
            <w:tcW w:w="585" w:type="dxa"/>
          </w:tcPr>
          <w:p w:rsidR="00CC1F88" w:rsidRPr="00875D13" w:rsidRDefault="00CC1F88">
            <w:pPr>
              <w:rPr>
                <w:sz w:val="16"/>
                <w:szCs w:val="16"/>
              </w:rPr>
            </w:pPr>
            <w:r w:rsidRPr="00875D13">
              <w:rPr>
                <w:sz w:val="16"/>
                <w:szCs w:val="16"/>
              </w:rPr>
              <w:t>3</w:t>
            </w:r>
            <w:r w:rsidRPr="00875D13">
              <w:rPr>
                <w:sz w:val="16"/>
                <w:szCs w:val="16"/>
                <w:vertAlign w:val="superscript"/>
              </w:rPr>
              <w:t>rd</w:t>
            </w:r>
          </w:p>
        </w:tc>
        <w:tc>
          <w:tcPr>
            <w:tcW w:w="2325" w:type="dxa"/>
          </w:tcPr>
          <w:p w:rsidR="00CC1F88" w:rsidRPr="00875D13" w:rsidRDefault="00CC1F88">
            <w:pPr>
              <w:rPr>
                <w:sz w:val="16"/>
                <w:szCs w:val="16"/>
              </w:rPr>
            </w:pPr>
          </w:p>
        </w:tc>
        <w:tc>
          <w:tcPr>
            <w:tcW w:w="4668" w:type="dxa"/>
            <w:gridSpan w:val="2"/>
          </w:tcPr>
          <w:p w:rsidR="00CC1F88" w:rsidRPr="00875D13" w:rsidRDefault="00CC1F88" w:rsidP="00CC1F88">
            <w:pPr>
              <w:rPr>
                <w:sz w:val="16"/>
                <w:szCs w:val="16"/>
              </w:rPr>
            </w:pPr>
            <w:r w:rsidRPr="00875D13">
              <w:rPr>
                <w:sz w:val="16"/>
                <w:szCs w:val="16"/>
              </w:rPr>
              <w:t>developing understanding of multiplication and division and strategies for multiplication and division within 100; (2) developing understanding of fractions, especially unit fractions (fractions with numerator 1)</w:t>
            </w:r>
          </w:p>
          <w:p w:rsidR="00CC1F88" w:rsidRPr="00875D13" w:rsidRDefault="00CC1F88" w:rsidP="00CC1F88">
            <w:pPr>
              <w:rPr>
                <w:sz w:val="16"/>
                <w:szCs w:val="16"/>
              </w:rPr>
            </w:pPr>
          </w:p>
          <w:p w:rsidR="00CC1F88" w:rsidRPr="00875D13" w:rsidRDefault="00CC1F88" w:rsidP="00CC1F88">
            <w:pPr>
              <w:rPr>
                <w:sz w:val="16"/>
                <w:szCs w:val="16"/>
              </w:rPr>
            </w:pPr>
            <w:r w:rsidRPr="00875D13">
              <w:rPr>
                <w:sz w:val="16"/>
                <w:szCs w:val="16"/>
              </w:rPr>
              <w:t>developing understanding of the structure of rectangular arrays and of area</w:t>
            </w:r>
          </w:p>
        </w:tc>
        <w:tc>
          <w:tcPr>
            <w:tcW w:w="2334" w:type="dxa"/>
          </w:tcPr>
          <w:p w:rsidR="00CC1F88" w:rsidRPr="00875D13" w:rsidRDefault="00CC1F88">
            <w:pPr>
              <w:rPr>
                <w:sz w:val="16"/>
                <w:szCs w:val="16"/>
              </w:rPr>
            </w:pPr>
          </w:p>
        </w:tc>
        <w:tc>
          <w:tcPr>
            <w:tcW w:w="2405" w:type="dxa"/>
          </w:tcPr>
          <w:p w:rsidR="00CC1F88" w:rsidRPr="00875D13" w:rsidRDefault="00CC1F88">
            <w:pPr>
              <w:rPr>
                <w:sz w:val="16"/>
                <w:szCs w:val="16"/>
              </w:rPr>
            </w:pPr>
          </w:p>
        </w:tc>
        <w:tc>
          <w:tcPr>
            <w:tcW w:w="2073" w:type="dxa"/>
          </w:tcPr>
          <w:p w:rsidR="00CC1F88" w:rsidRPr="00875D13" w:rsidRDefault="00CC1F88">
            <w:pPr>
              <w:rPr>
                <w:sz w:val="16"/>
                <w:szCs w:val="16"/>
              </w:rPr>
            </w:pPr>
            <w:r w:rsidRPr="00875D13">
              <w:rPr>
                <w:sz w:val="16"/>
                <w:szCs w:val="16"/>
              </w:rPr>
              <w:t>describing and analyzing two-dimensional shapes</w:t>
            </w:r>
          </w:p>
        </w:tc>
      </w:tr>
      <w:tr w:rsidR="00CC1F88" w:rsidRPr="00875D13" w:rsidTr="00AB526C">
        <w:tc>
          <w:tcPr>
            <w:tcW w:w="585" w:type="dxa"/>
          </w:tcPr>
          <w:p w:rsidR="00CC1F88" w:rsidRPr="00875D13" w:rsidRDefault="00CC1F88">
            <w:pPr>
              <w:rPr>
                <w:sz w:val="16"/>
                <w:szCs w:val="16"/>
              </w:rPr>
            </w:pPr>
            <w:r w:rsidRPr="00875D13">
              <w:rPr>
                <w:sz w:val="16"/>
                <w:szCs w:val="16"/>
              </w:rPr>
              <w:t>2</w:t>
            </w:r>
            <w:r w:rsidRPr="00875D13">
              <w:rPr>
                <w:sz w:val="16"/>
                <w:szCs w:val="16"/>
                <w:vertAlign w:val="superscript"/>
              </w:rPr>
              <w:t>nd</w:t>
            </w:r>
          </w:p>
        </w:tc>
        <w:tc>
          <w:tcPr>
            <w:tcW w:w="2325" w:type="dxa"/>
          </w:tcPr>
          <w:p w:rsidR="00CC1F88" w:rsidRPr="00875D13" w:rsidRDefault="00CC1F88">
            <w:pPr>
              <w:rPr>
                <w:sz w:val="16"/>
                <w:szCs w:val="16"/>
              </w:rPr>
            </w:pPr>
          </w:p>
        </w:tc>
        <w:tc>
          <w:tcPr>
            <w:tcW w:w="4668" w:type="dxa"/>
            <w:gridSpan w:val="2"/>
          </w:tcPr>
          <w:p w:rsidR="00CC1F88" w:rsidRPr="00875D13" w:rsidRDefault="00CC1F88" w:rsidP="00CC1F88">
            <w:pPr>
              <w:rPr>
                <w:sz w:val="16"/>
                <w:szCs w:val="16"/>
              </w:rPr>
            </w:pPr>
            <w:r w:rsidRPr="00875D13">
              <w:rPr>
                <w:sz w:val="16"/>
                <w:szCs w:val="16"/>
              </w:rPr>
              <w:t>extending understanding of base-ten notation</w:t>
            </w:r>
            <w:r w:rsidRPr="00875D13">
              <w:rPr>
                <w:sz w:val="16"/>
                <w:szCs w:val="16"/>
              </w:rPr>
              <w:t xml:space="preserve"> </w:t>
            </w:r>
            <w:r w:rsidRPr="00875D13">
              <w:rPr>
                <w:sz w:val="16"/>
                <w:szCs w:val="16"/>
              </w:rPr>
              <w:t>building fluency with addition and subtraction</w:t>
            </w:r>
          </w:p>
        </w:tc>
        <w:tc>
          <w:tcPr>
            <w:tcW w:w="2334" w:type="dxa"/>
          </w:tcPr>
          <w:p w:rsidR="00CC1F88" w:rsidRPr="00875D13" w:rsidRDefault="00CC1F88">
            <w:pPr>
              <w:rPr>
                <w:sz w:val="16"/>
                <w:szCs w:val="16"/>
              </w:rPr>
            </w:pPr>
          </w:p>
        </w:tc>
        <w:tc>
          <w:tcPr>
            <w:tcW w:w="2405" w:type="dxa"/>
          </w:tcPr>
          <w:p w:rsidR="00CC1F88" w:rsidRPr="00875D13" w:rsidRDefault="00CC1F88">
            <w:pPr>
              <w:rPr>
                <w:sz w:val="16"/>
                <w:szCs w:val="16"/>
              </w:rPr>
            </w:pPr>
            <w:r w:rsidRPr="00875D13">
              <w:rPr>
                <w:sz w:val="16"/>
                <w:szCs w:val="16"/>
              </w:rPr>
              <w:t>using standard units of measure</w:t>
            </w:r>
          </w:p>
        </w:tc>
        <w:tc>
          <w:tcPr>
            <w:tcW w:w="2073" w:type="dxa"/>
          </w:tcPr>
          <w:p w:rsidR="00CC1F88" w:rsidRPr="00875D13" w:rsidRDefault="00CC1F88">
            <w:pPr>
              <w:rPr>
                <w:sz w:val="16"/>
                <w:szCs w:val="16"/>
              </w:rPr>
            </w:pPr>
            <w:r w:rsidRPr="00875D13">
              <w:rPr>
                <w:sz w:val="16"/>
                <w:szCs w:val="16"/>
              </w:rPr>
              <w:t>describing and analyzing shapes</w:t>
            </w:r>
          </w:p>
        </w:tc>
      </w:tr>
      <w:tr w:rsidR="00CC1F88" w:rsidRPr="00875D13" w:rsidTr="00AB526C">
        <w:tc>
          <w:tcPr>
            <w:tcW w:w="585" w:type="dxa"/>
          </w:tcPr>
          <w:p w:rsidR="00CC1F88" w:rsidRPr="00875D13" w:rsidRDefault="00875D13">
            <w:pPr>
              <w:rPr>
                <w:sz w:val="16"/>
                <w:szCs w:val="16"/>
              </w:rPr>
            </w:pPr>
            <w:r>
              <w:rPr>
                <w:sz w:val="16"/>
                <w:szCs w:val="16"/>
              </w:rPr>
              <w:t>1</w:t>
            </w:r>
            <w:r w:rsidRPr="00875D13">
              <w:rPr>
                <w:sz w:val="16"/>
                <w:szCs w:val="16"/>
                <w:vertAlign w:val="superscript"/>
              </w:rPr>
              <w:t>st</w:t>
            </w:r>
            <w:r>
              <w:rPr>
                <w:sz w:val="16"/>
                <w:szCs w:val="16"/>
              </w:rPr>
              <w:t xml:space="preserve"> </w:t>
            </w:r>
          </w:p>
        </w:tc>
        <w:tc>
          <w:tcPr>
            <w:tcW w:w="2325" w:type="dxa"/>
          </w:tcPr>
          <w:p w:rsidR="00CC1F88" w:rsidRPr="00875D13" w:rsidRDefault="00CC1F88">
            <w:pPr>
              <w:rPr>
                <w:sz w:val="16"/>
                <w:szCs w:val="16"/>
              </w:rPr>
            </w:pPr>
          </w:p>
        </w:tc>
        <w:tc>
          <w:tcPr>
            <w:tcW w:w="4668" w:type="dxa"/>
            <w:gridSpan w:val="2"/>
          </w:tcPr>
          <w:p w:rsidR="00CC1F88" w:rsidRPr="00875D13" w:rsidRDefault="00CC1F88" w:rsidP="00CC1F88">
            <w:pPr>
              <w:rPr>
                <w:sz w:val="16"/>
                <w:szCs w:val="16"/>
              </w:rPr>
            </w:pPr>
            <w:r w:rsidRPr="00875D13">
              <w:rPr>
                <w:sz w:val="16"/>
                <w:szCs w:val="16"/>
              </w:rPr>
              <w:t>developing understanding of addition, subtraction, and strategies for addition and subtraction within 20</w:t>
            </w:r>
            <w:r w:rsidRPr="00875D13">
              <w:rPr>
                <w:sz w:val="16"/>
                <w:szCs w:val="16"/>
              </w:rPr>
              <w:t xml:space="preserve"> </w:t>
            </w:r>
          </w:p>
          <w:p w:rsidR="00CC1F88" w:rsidRPr="00875D13" w:rsidRDefault="00CC1F88" w:rsidP="00CC1F88">
            <w:pPr>
              <w:rPr>
                <w:sz w:val="16"/>
                <w:szCs w:val="16"/>
              </w:rPr>
            </w:pPr>
          </w:p>
          <w:p w:rsidR="00CC1F88" w:rsidRPr="00875D13" w:rsidRDefault="00CC1F88" w:rsidP="00CC1F88">
            <w:pPr>
              <w:rPr>
                <w:sz w:val="16"/>
                <w:szCs w:val="16"/>
              </w:rPr>
            </w:pPr>
            <w:r w:rsidRPr="00875D13">
              <w:rPr>
                <w:sz w:val="16"/>
                <w:szCs w:val="16"/>
              </w:rPr>
              <w:t xml:space="preserve">developing understanding of whole number relationships and place value, including grouping in </w:t>
            </w:r>
            <w:proofErr w:type="spellStart"/>
            <w:r w:rsidRPr="00875D13">
              <w:rPr>
                <w:sz w:val="16"/>
                <w:szCs w:val="16"/>
              </w:rPr>
              <w:t>tens</w:t>
            </w:r>
            <w:proofErr w:type="spellEnd"/>
            <w:r w:rsidRPr="00875D13">
              <w:rPr>
                <w:sz w:val="16"/>
                <w:szCs w:val="16"/>
              </w:rPr>
              <w:t xml:space="preserve"> and ones</w:t>
            </w:r>
          </w:p>
        </w:tc>
        <w:tc>
          <w:tcPr>
            <w:tcW w:w="2334" w:type="dxa"/>
          </w:tcPr>
          <w:p w:rsidR="00CC1F88" w:rsidRPr="00875D13" w:rsidRDefault="00CC1F88">
            <w:pPr>
              <w:rPr>
                <w:sz w:val="16"/>
                <w:szCs w:val="16"/>
              </w:rPr>
            </w:pPr>
          </w:p>
        </w:tc>
        <w:tc>
          <w:tcPr>
            <w:tcW w:w="2405" w:type="dxa"/>
          </w:tcPr>
          <w:p w:rsidR="00CC1F88" w:rsidRPr="00875D13" w:rsidRDefault="00CC1F88">
            <w:pPr>
              <w:rPr>
                <w:sz w:val="16"/>
                <w:szCs w:val="16"/>
              </w:rPr>
            </w:pPr>
            <w:r w:rsidRPr="00875D13">
              <w:rPr>
                <w:sz w:val="16"/>
                <w:szCs w:val="16"/>
              </w:rPr>
              <w:t>developing understanding of linear measurement and measuring lengths as iterating length units;</w:t>
            </w:r>
          </w:p>
        </w:tc>
        <w:tc>
          <w:tcPr>
            <w:tcW w:w="2073" w:type="dxa"/>
          </w:tcPr>
          <w:p w:rsidR="00CC1F88" w:rsidRPr="00875D13" w:rsidRDefault="00CC1F88">
            <w:pPr>
              <w:rPr>
                <w:sz w:val="16"/>
                <w:szCs w:val="16"/>
              </w:rPr>
            </w:pPr>
            <w:r w:rsidRPr="00875D13">
              <w:rPr>
                <w:sz w:val="16"/>
                <w:szCs w:val="16"/>
              </w:rPr>
              <w:t>reasoning about attributes of, and composing and decomposing geometric shapes</w:t>
            </w:r>
          </w:p>
        </w:tc>
      </w:tr>
      <w:tr w:rsidR="00CC1F88" w:rsidRPr="00875D13" w:rsidTr="00AB526C">
        <w:tc>
          <w:tcPr>
            <w:tcW w:w="585" w:type="dxa"/>
          </w:tcPr>
          <w:p w:rsidR="00CC1F88" w:rsidRPr="00875D13" w:rsidRDefault="00CC1F88">
            <w:pPr>
              <w:rPr>
                <w:sz w:val="16"/>
                <w:szCs w:val="16"/>
              </w:rPr>
            </w:pPr>
            <w:r w:rsidRPr="00875D13">
              <w:rPr>
                <w:sz w:val="16"/>
                <w:szCs w:val="16"/>
              </w:rPr>
              <w:t>K</w:t>
            </w:r>
          </w:p>
        </w:tc>
        <w:tc>
          <w:tcPr>
            <w:tcW w:w="2325" w:type="dxa"/>
          </w:tcPr>
          <w:p w:rsidR="00CC1F88" w:rsidRPr="00875D13" w:rsidRDefault="00CC1F88">
            <w:pPr>
              <w:rPr>
                <w:sz w:val="16"/>
                <w:szCs w:val="16"/>
              </w:rPr>
            </w:pPr>
            <w:r w:rsidRPr="00875D13">
              <w:rPr>
                <w:sz w:val="16"/>
                <w:szCs w:val="16"/>
              </w:rPr>
              <w:t>representing and comparing whole numbers, initially with sets of objects</w:t>
            </w:r>
          </w:p>
        </w:tc>
        <w:tc>
          <w:tcPr>
            <w:tcW w:w="4668" w:type="dxa"/>
            <w:gridSpan w:val="2"/>
          </w:tcPr>
          <w:p w:rsidR="00CC1F88" w:rsidRPr="00875D13" w:rsidRDefault="00CC1F88" w:rsidP="00CC1F88">
            <w:pPr>
              <w:rPr>
                <w:sz w:val="16"/>
                <w:szCs w:val="16"/>
              </w:rPr>
            </w:pPr>
          </w:p>
        </w:tc>
        <w:tc>
          <w:tcPr>
            <w:tcW w:w="2334" w:type="dxa"/>
          </w:tcPr>
          <w:p w:rsidR="00CC1F88" w:rsidRPr="00875D13" w:rsidRDefault="00CC1F88">
            <w:pPr>
              <w:rPr>
                <w:sz w:val="16"/>
                <w:szCs w:val="16"/>
              </w:rPr>
            </w:pPr>
          </w:p>
        </w:tc>
        <w:tc>
          <w:tcPr>
            <w:tcW w:w="2405" w:type="dxa"/>
          </w:tcPr>
          <w:p w:rsidR="00CC1F88" w:rsidRPr="00875D13" w:rsidRDefault="00CC1F88">
            <w:pPr>
              <w:rPr>
                <w:sz w:val="16"/>
                <w:szCs w:val="16"/>
              </w:rPr>
            </w:pPr>
          </w:p>
        </w:tc>
        <w:tc>
          <w:tcPr>
            <w:tcW w:w="2073" w:type="dxa"/>
          </w:tcPr>
          <w:p w:rsidR="00CC1F88" w:rsidRPr="00875D13" w:rsidRDefault="00CC1F88">
            <w:pPr>
              <w:rPr>
                <w:sz w:val="16"/>
                <w:szCs w:val="16"/>
              </w:rPr>
            </w:pPr>
            <w:r w:rsidRPr="00875D13">
              <w:rPr>
                <w:sz w:val="16"/>
                <w:szCs w:val="16"/>
              </w:rPr>
              <w:t>describing shapes and space</w:t>
            </w:r>
          </w:p>
        </w:tc>
      </w:tr>
    </w:tbl>
    <w:p w:rsidR="00CC1F88" w:rsidRDefault="00CC1F88"/>
    <w:p w:rsidR="00875D13" w:rsidRDefault="00875D13">
      <w:bookmarkStart w:id="0" w:name="_GoBack"/>
      <w:bookmarkEnd w:id="0"/>
    </w:p>
    <w:p w:rsidR="00875D13" w:rsidRPr="00875D13" w:rsidRDefault="00875D13" w:rsidP="00875D13">
      <w:pPr>
        <w:tabs>
          <w:tab w:val="left" w:pos="12145"/>
        </w:tabs>
      </w:pPr>
      <w:r>
        <w:t>*Number &amp; Operations in Base Ten and Operations &amp; Algebraic Thinking are not one domain, but often overlap when considering the main focus areas for the grade level as a whole.</w:t>
      </w:r>
    </w:p>
    <w:sectPr w:rsidR="00875D13" w:rsidRPr="00875D13" w:rsidSect="00CC1F8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99" w:rsidRDefault="001C6A99" w:rsidP="00CC1F88">
      <w:pPr>
        <w:spacing w:after="0" w:line="240" w:lineRule="auto"/>
      </w:pPr>
      <w:r>
        <w:separator/>
      </w:r>
    </w:p>
  </w:endnote>
  <w:endnote w:type="continuationSeparator" w:id="0">
    <w:p w:rsidR="001C6A99" w:rsidRDefault="001C6A99" w:rsidP="00CC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99" w:rsidRDefault="001C6A99" w:rsidP="00CC1F88">
      <w:pPr>
        <w:spacing w:after="0" w:line="240" w:lineRule="auto"/>
      </w:pPr>
      <w:r>
        <w:separator/>
      </w:r>
    </w:p>
  </w:footnote>
  <w:footnote w:type="continuationSeparator" w:id="0">
    <w:p w:rsidR="001C6A99" w:rsidRDefault="001C6A99" w:rsidP="00CC1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88"/>
    <w:rsid w:val="001C6A99"/>
    <w:rsid w:val="00875D13"/>
    <w:rsid w:val="00CC1F88"/>
    <w:rsid w:val="00DC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C9FAB-5F75-4F17-99AA-2C7C530C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F88"/>
  </w:style>
  <w:style w:type="paragraph" w:styleId="Footer">
    <w:name w:val="footer"/>
    <w:basedOn w:val="Normal"/>
    <w:link w:val="FooterChar"/>
    <w:uiPriority w:val="99"/>
    <w:unhideWhenUsed/>
    <w:rsid w:val="00CC1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Everette</dc:creator>
  <cp:keywords/>
  <dc:description/>
  <cp:lastModifiedBy>Meghan Everette</cp:lastModifiedBy>
  <cp:revision>1</cp:revision>
  <dcterms:created xsi:type="dcterms:W3CDTF">2014-01-28T02:39:00Z</dcterms:created>
  <dcterms:modified xsi:type="dcterms:W3CDTF">2014-01-28T03:00:00Z</dcterms:modified>
</cp:coreProperties>
</file>